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13.60107421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7685546875" w:line="240" w:lineRule="auto"/>
        <w:ind w:left="0" w:right="1678.60107421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555908203125" w:line="240" w:lineRule="auto"/>
        <w:ind w:left="0" w:right="691.42822265625" w:firstLine="0"/>
        <w:jc w:val="center"/>
        <w:rPr>
          <w:rFonts w:ascii="Nunito" w:cs="Nunito" w:eastAsia="Nunito" w:hAnsi="Nunito"/>
          <w:b w:val="1"/>
          <w:i w:val="0"/>
          <w:smallCaps w:val="0"/>
          <w:strike w:val="0"/>
          <w:color w:val="000000"/>
          <w:sz w:val="24"/>
          <w:szCs w:val="24"/>
          <w:u w:val="single"/>
          <w:shd w:fill="auto" w:val="clear"/>
          <w:vertAlign w:val="baseline"/>
        </w:rPr>
      </w:pPr>
      <w:r w:rsidDel="00000000" w:rsidR="00000000" w:rsidRPr="00000000">
        <w:rPr>
          <w:rFonts w:ascii="Nunito" w:cs="Nunito" w:eastAsia="Nunito" w:hAnsi="Nunito"/>
          <w:b w:val="1"/>
          <w:sz w:val="24"/>
          <w:szCs w:val="24"/>
          <w:u w:val="single"/>
          <w:rtl w:val="0"/>
        </w:rPr>
        <w:t xml:space="preserve">F</w:t>
      </w:r>
      <w:r w:rsidDel="00000000" w:rsidR="00000000" w:rsidRPr="00000000">
        <w:rPr>
          <w:rFonts w:ascii="Nunito" w:cs="Nunito" w:eastAsia="Nunito" w:hAnsi="Nunito"/>
          <w:b w:val="1"/>
          <w:i w:val="0"/>
          <w:smallCaps w:val="0"/>
          <w:strike w:val="0"/>
          <w:color w:val="000000"/>
          <w:sz w:val="24"/>
          <w:szCs w:val="24"/>
          <w:u w:val="single"/>
          <w:shd w:fill="auto" w:val="clear"/>
          <w:vertAlign w:val="baseline"/>
          <w:rtl w:val="0"/>
        </w:rPr>
        <w:t xml:space="preserve">icha pedagógica que acompaña la obra</w:t>
      </w:r>
      <w:r w:rsidDel="00000000" w:rsidR="00000000" w:rsidRPr="00000000">
        <w:rPr>
          <w:rFonts w:ascii="Nunito" w:cs="Nunito" w:eastAsia="Nunito" w:hAnsi="Nunito"/>
          <w:b w:val="1"/>
          <w:sz w:val="24"/>
          <w:szCs w:val="24"/>
          <w:u w:val="single"/>
          <w:rtl w:val="0"/>
        </w:rPr>
        <w:t xml:space="preserve">: “LA REGLA NO ES TABÚ”</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555908203125" w:line="240" w:lineRule="auto"/>
        <w:ind w:left="425.19685039370086" w:right="427.7952755905511" w:firstLine="0"/>
        <w:jc w:val="both"/>
        <w:rPr>
          <w:rFonts w:ascii="Nunito" w:cs="Nunito" w:eastAsia="Nunito" w:hAnsi="Nunito"/>
          <w:b w:val="1"/>
          <w:sz w:val="24"/>
          <w:szCs w:val="24"/>
        </w:rPr>
      </w:pPr>
      <w:r w:rsidDel="00000000" w:rsidR="00000000" w:rsidRPr="00000000">
        <w:rPr>
          <w:rtl w:val="0"/>
        </w:rPr>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680"/>
        <w:tblGridChange w:id="0">
          <w:tblGrid>
            <w:gridCol w:w="4320"/>
            <w:gridCol w:w="4680"/>
          </w:tblGrid>
        </w:tblGridChange>
      </w:tblGrid>
      <w:tr>
        <w:trPr>
          <w:cantSplit w:val="0"/>
          <w:trHeight w:val="4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b w:val="1"/>
                <w:i w:val="0"/>
                <w:smallCaps w:val="0"/>
                <w:strike w:val="0"/>
                <w:color w:val="000000"/>
                <w:sz w:val="24"/>
                <w:szCs w:val="24"/>
                <w:u w:val="none"/>
                <w:shd w:fill="auto" w:val="clear"/>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Título de la obra: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i w:val="0"/>
                <w:smallCaps w:val="0"/>
                <w:strike w:val="0"/>
                <w:color w:val="000000"/>
                <w:sz w:val="24"/>
                <w:szCs w:val="24"/>
                <w:u w:val="none"/>
                <w:shd w:fill="auto" w:val="clear"/>
                <w:vertAlign w:val="baseline"/>
              </w:rPr>
            </w:pPr>
            <w:r w:rsidDel="00000000" w:rsidR="00000000" w:rsidRPr="00000000">
              <w:rPr>
                <w:rFonts w:ascii="Nunito" w:cs="Nunito" w:eastAsia="Nunito" w:hAnsi="Nunito"/>
                <w:sz w:val="24"/>
                <w:szCs w:val="24"/>
                <w:rtl w:val="0"/>
              </w:rPr>
              <w:t xml:space="preserve">LA REGLA NO ES TABÚ</w:t>
            </w:r>
            <w:r w:rsidDel="00000000" w:rsidR="00000000" w:rsidRPr="00000000">
              <w:rPr>
                <w:rtl w:val="0"/>
              </w:rPr>
            </w:r>
          </w:p>
        </w:tc>
      </w:tr>
      <w:tr>
        <w:trPr>
          <w:cantSplit w:val="0"/>
          <w:trHeight w:val="878.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b w:val="1"/>
                <w:i w:val="0"/>
                <w:smallCaps w:val="0"/>
                <w:strike w:val="0"/>
                <w:color w:val="000000"/>
                <w:sz w:val="24"/>
                <w:szCs w:val="24"/>
                <w:highlight w:val="white"/>
                <w:u w:val="none"/>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Nombre y </w:t>
            </w:r>
            <w:r w:rsidDel="00000000" w:rsidR="00000000" w:rsidRPr="00000000">
              <w:rPr>
                <w:rFonts w:ascii="Nunito" w:cs="Nunito" w:eastAsia="Nunito" w:hAnsi="Nunito"/>
                <w:b w:val="1"/>
                <w:sz w:val="24"/>
                <w:szCs w:val="24"/>
                <w:highlight w:val="white"/>
                <w:rtl w:val="0"/>
              </w:rPr>
              <w:t xml:space="preserve">apellidos de</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 la </w:t>
            </w: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 </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persona artista: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427.7952755905511" w:firstLine="0"/>
              <w:jc w:val="both"/>
              <w:rPr>
                <w:rFonts w:ascii="Nunito" w:cs="Nunito" w:eastAsia="Nunito" w:hAnsi="Nunito"/>
                <w:i w:val="0"/>
                <w:smallCaps w:val="0"/>
                <w:strike w:val="0"/>
                <w:color w:val="000000"/>
                <w:sz w:val="24"/>
                <w:szCs w:val="24"/>
                <w:highlight w:val="white"/>
                <w:u w:val="none"/>
                <w:vertAlign w:val="baseline"/>
              </w:rPr>
            </w:pPr>
            <w:r w:rsidDel="00000000" w:rsidR="00000000" w:rsidRPr="00000000">
              <w:rPr>
                <w:rFonts w:ascii="Nunito" w:cs="Nunito" w:eastAsia="Nunito" w:hAnsi="Nunito"/>
                <w:sz w:val="24"/>
                <w:szCs w:val="24"/>
                <w:highlight w:val="white"/>
                <w:rtl w:val="0"/>
              </w:rPr>
              <w:t xml:space="preserve">Àfrika Rodríguez Baraffe</w:t>
            </w:r>
            <w:r w:rsidDel="00000000" w:rsidR="00000000" w:rsidRPr="00000000">
              <w:rPr>
                <w:rtl w:val="0"/>
              </w:rPr>
            </w:r>
          </w:p>
        </w:tc>
      </w:tr>
      <w:tr>
        <w:trPr>
          <w:cantSplit w:val="0"/>
          <w:trHeight w:val="629.4006347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30.34300327301025" w:lineRule="auto"/>
              <w:ind w:left="425.19685039370086" w:right="427.7952755905511" w:firstLine="0"/>
              <w:jc w:val="both"/>
              <w:rPr>
                <w:rFonts w:ascii="Nunito" w:cs="Nunito" w:eastAsia="Nunito" w:hAnsi="Nunito"/>
                <w:b w:val="1"/>
                <w:i w:val="0"/>
                <w:smallCaps w:val="0"/>
                <w:strike w:val="0"/>
                <w:color w:val="000000"/>
                <w:sz w:val="24"/>
                <w:szCs w:val="24"/>
                <w:highlight w:val="white"/>
                <w:u w:val="none"/>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¿Cómo se relaciona tu obra con los Derechos Sexuales y los Derechos </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Reproductivos?</w:t>
            </w:r>
          </w:p>
        </w:tc>
      </w:tr>
      <w:tr>
        <w:trPr>
          <w:cantSplit w:val="0"/>
          <w:trHeight w:val="151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3.6163330078125" w:line="241.2077808380127" w:lineRule="auto"/>
              <w:ind w:left="0" w:right="427.7952755905511" w:firstLine="0"/>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Esta obra trata sobre uno de los aspectos relacionados con los DSDR: la menstruación. Específicamente con el “Derecho a recibir información y acceso a servicios de salud de calidad sobre todas las dimensiones de la sexualidad, sin ningún tipo de discriminación”.</w:t>
            </w:r>
          </w:p>
        </w:tc>
      </w:tr>
      <w:tr>
        <w:trPr>
          <w:cantSplit w:val="0"/>
          <w:trHeight w:val="628.800048828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30.34191608428955" w:lineRule="auto"/>
              <w:ind w:left="425.19685039370086" w:right="427.7952755905511" w:firstLine="0"/>
              <w:jc w:val="both"/>
              <w:rPr>
                <w:rFonts w:ascii="Nunito" w:cs="Nunito" w:eastAsia="Nunito" w:hAnsi="Nunito"/>
                <w:b w:val="1"/>
                <w:i w:val="0"/>
                <w:smallCaps w:val="0"/>
                <w:strike w:val="0"/>
                <w:color w:val="000000"/>
                <w:sz w:val="24"/>
                <w:szCs w:val="24"/>
                <w:highlight w:val="white"/>
                <w:u w:val="none"/>
                <w:vertAlign w:val="baseline"/>
              </w:rPr>
            </w:pPr>
            <w:r w:rsidDel="00000000" w:rsidR="00000000" w:rsidRPr="00000000">
              <w:rPr>
                <w:rFonts w:ascii="Nunito" w:cs="Nunito" w:eastAsia="Nunito" w:hAnsi="Nunito"/>
                <w:b w:val="1"/>
                <w:i w:val="0"/>
                <w:smallCaps w:val="0"/>
                <w:strike w:val="0"/>
                <w:color w:val="000000"/>
                <w:sz w:val="24"/>
                <w:szCs w:val="24"/>
                <w:u w:val="none"/>
                <w:shd w:fill="auto" w:val="clear"/>
                <w:vertAlign w:val="baseline"/>
                <w:rtl w:val="0"/>
              </w:rPr>
              <w:t xml:space="preserve">¿Cómo puede utilizarse tu obra como actividad para contribuir en la promoción de </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estos </w:t>
            </w:r>
            <w:r w:rsidDel="00000000" w:rsidR="00000000" w:rsidRPr="00000000">
              <w:rPr>
                <w:rFonts w:ascii="Nunito" w:cs="Nunito" w:eastAsia="Nunito" w:hAnsi="Nunito"/>
                <w:b w:val="1"/>
                <w:sz w:val="24"/>
                <w:szCs w:val="24"/>
                <w:highlight w:val="white"/>
                <w:rtl w:val="0"/>
              </w:rPr>
              <w:t xml:space="preserve">derechos entre</w:t>
            </w:r>
            <w:r w:rsidDel="00000000" w:rsidR="00000000" w:rsidRPr="00000000">
              <w:rPr>
                <w:rFonts w:ascii="Nunito" w:cs="Nunito" w:eastAsia="Nunito" w:hAnsi="Nunito"/>
                <w:b w:val="1"/>
                <w:i w:val="0"/>
                <w:smallCaps w:val="0"/>
                <w:strike w:val="0"/>
                <w:color w:val="000000"/>
                <w:sz w:val="24"/>
                <w:szCs w:val="24"/>
                <w:highlight w:val="white"/>
                <w:u w:val="none"/>
                <w:vertAlign w:val="baseline"/>
                <w:rtl w:val="0"/>
              </w:rPr>
              <w:t xml:space="preserve"> la gente joven?</w:t>
            </w:r>
          </w:p>
        </w:tc>
      </w:tr>
      <w:tr>
        <w:trPr>
          <w:cantSplit w:val="0"/>
          <w:trHeight w:val="1397.1990966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Este collage puede ser utilizado como póster para promover lo dicho anteriormente o para ser empleado en un taller sobre DSDR. En el cartel se muestra la sangre para deconstruir el hecho de que sea un tabú. Al verlo repetidas veces, se normaliza. El diseño pretende ser desenfadado y dinámico, con la intención de interpelar al público adolescente y darle una perspectiva amable al asunto.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Pienso que se puede utilizar como telón de fondo en un taller por los siguientes motivos. En el collage se muestran mujeres por medio de fotografías tanto antiguas como más actuales, así como en esculturas y pinturas clásicas. Esto pretende mostrar que es algo natural: que siempre ha existido, que la menstruación te acompaña en muchas de las etapas de la vida etc. Específicamente, a raíz de las imágenes de pinturas y esculturas, se puede abordar el tema de manera histórica y se puede hacer hincapié en la falta de visibilidad que ha tenido la menstruación en nuestra cultura.</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A su vez, he escogido mostrar diferentes actitudes: algunas de las mujeres que aparecen están afligidas, parecen doloridas, otras están serias, otras haciendo ejercicio, otras alegres... Hay incluso la representación de tres mujeres juntas -llamando a la experiencia colectiva. A partir de esto se puede hablar de cómo de diferente puede afectar o se puede vivir la regla dependiendo de cada una, invitando a compartir experiencias, y/o también puede ser un punto de partida para dar información sobre los diferentes tipos de enfermedad o problemas de salud que se pueden derivar de la menstruación.</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En resumen, creo que a partir del cartel se pueden ir extrayendo temas para abordar la menstruación en un taller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Por último, adjunto junto al collage una serie de tarjetas con algunas de las imágenes individuales.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Fonts w:ascii="Nunito" w:cs="Nunito" w:eastAsia="Nunito" w:hAnsi="Nunito"/>
                <w:sz w:val="24"/>
                <w:szCs w:val="24"/>
                <w:highlight w:val="white"/>
                <w:rtl w:val="0"/>
              </w:rPr>
              <w:t xml:space="preserve">Creo que pueden ser utilizadas para que escriban allí dudas, tomen apuntes sobre la información que se les está aportando, o quizás puedan ser útiles para alguna dinámica preparada para la ocasión. También pienso que sería de utilidad si se lo pueden llevar a casa para tener cerca está representación naturalizada, de este hecho tan natural.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12.0147705078125" w:line="240" w:lineRule="auto"/>
              <w:ind w:left="0" w:right="427.7952755905511" w:firstLine="0"/>
              <w:jc w:val="both"/>
              <w:rPr>
                <w:rFonts w:ascii="Nunito" w:cs="Nunito" w:eastAsia="Nunito" w:hAnsi="Nunito"/>
                <w:sz w:val="24"/>
                <w:szCs w:val="24"/>
                <w:highlight w:val="white"/>
              </w:rPr>
            </w:pPr>
            <w:r w:rsidDel="00000000" w:rsidR="00000000" w:rsidRPr="00000000">
              <w:rPr>
                <w:rtl w:val="0"/>
              </w:rPr>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3291015625" w:line="240" w:lineRule="auto"/>
        <w:ind w:left="0" w:right="0"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tl w:val="0"/>
        </w:rPr>
      </w:r>
    </w:p>
    <w:sectPr>
      <w:headerReference r:id="rId7" w:type="default"/>
      <w:pgSz w:h="15840" w:w="12240" w:orient="portrait"/>
      <w:pgMar w:bottom="4009.4000244140625" w:top="1440" w:left="1541.2799072265625" w:right="1695.39916992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spacing w:line="240" w:lineRule="auto"/>
      <w:ind w:right="1813.60107421875"/>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4393134</wp:posOffset>
          </wp:positionH>
          <wp:positionV relativeFrom="paragraph">
            <wp:posOffset>180975</wp:posOffset>
          </wp:positionV>
          <wp:extent cx="1325880" cy="42672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25880" cy="426720"/>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2819400</wp:posOffset>
          </wp:positionH>
          <wp:positionV relativeFrom="paragraph">
            <wp:posOffset>228600</wp:posOffset>
          </wp:positionV>
          <wp:extent cx="1411605" cy="337820"/>
          <wp:effectExtent b="0" l="0" r="0" t="0"/>
          <wp:wrapNone/>
          <wp:docPr id="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11605" cy="33782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giVZdzTOA2HJ+ndHhbcLkbRKcg==">CgMxLjA4AHIhMXZkc1hkbHZlMGpvQWVFbEw2OU9DN0hSLXJ6QVMxNmQ3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